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FD" w:rsidRDefault="00443FFD" w:rsidP="00443FF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43FFD" w:rsidRDefault="00443FFD" w:rsidP="00443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FFD" w:rsidRDefault="00443FFD" w:rsidP="00443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443FFD" w:rsidRDefault="00443FFD" w:rsidP="00443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443FFD" w:rsidRDefault="00443FFD" w:rsidP="00443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FFD" w:rsidRDefault="00443FFD" w:rsidP="00443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43FFD" w:rsidRDefault="00443FFD" w:rsidP="00443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FFD" w:rsidRDefault="00443FFD" w:rsidP="00443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FFD" w:rsidRDefault="00443FFD" w:rsidP="00443F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2015                                                             № ______</w:t>
      </w:r>
    </w:p>
    <w:p w:rsidR="00443FFD" w:rsidRDefault="00443FFD" w:rsidP="00443FFD">
      <w:pPr>
        <w:pStyle w:val="ConsPlusTitle"/>
        <w:widowControl/>
        <w:rPr>
          <w:b w:val="0"/>
          <w:sz w:val="28"/>
          <w:szCs w:val="28"/>
        </w:rPr>
      </w:pPr>
    </w:p>
    <w:p w:rsidR="00443FFD" w:rsidRDefault="00443FFD" w:rsidP="00443FFD">
      <w:pPr>
        <w:pStyle w:val="ConsPlusTitle"/>
        <w:widowControl/>
        <w:rPr>
          <w:b w:val="0"/>
          <w:sz w:val="28"/>
          <w:szCs w:val="28"/>
        </w:rPr>
      </w:pPr>
    </w:p>
    <w:p w:rsidR="00443FFD" w:rsidRDefault="00443FFD" w:rsidP="00443FF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</w:t>
      </w:r>
    </w:p>
    <w:p w:rsidR="00443FFD" w:rsidRDefault="00443FFD" w:rsidP="00443FF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города Ханты-Мансийска</w:t>
      </w:r>
    </w:p>
    <w:p w:rsidR="00443FFD" w:rsidRDefault="00443FFD" w:rsidP="00443FF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24.10.2013 № 1367 «О муниципальной</w:t>
      </w:r>
    </w:p>
    <w:p w:rsidR="00443FFD" w:rsidRDefault="00443FFD" w:rsidP="00443FF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программе «Управление </w:t>
      </w:r>
      <w:proofErr w:type="gramStart"/>
      <w:r>
        <w:rPr>
          <w:b w:val="0"/>
          <w:sz w:val="28"/>
          <w:szCs w:val="28"/>
        </w:rPr>
        <w:t>муниципальными</w:t>
      </w:r>
      <w:proofErr w:type="gramEnd"/>
    </w:p>
    <w:p w:rsidR="00443FFD" w:rsidRDefault="00443FFD" w:rsidP="00443FF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финансами города Ханты-Мансийска</w:t>
      </w:r>
    </w:p>
    <w:p w:rsidR="00443FFD" w:rsidRDefault="00443FFD" w:rsidP="00443FFD">
      <w:pPr>
        <w:pStyle w:val="ConsPlusTitle"/>
        <w:widowControl/>
        <w:tabs>
          <w:tab w:val="left" w:pos="381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2014-2020 годы»</w:t>
      </w:r>
    </w:p>
    <w:p w:rsidR="00443FFD" w:rsidRDefault="00443FFD" w:rsidP="00443FFD">
      <w:pPr>
        <w:pStyle w:val="ConsPlusTitle"/>
        <w:widowControl/>
        <w:tabs>
          <w:tab w:val="left" w:pos="3810"/>
        </w:tabs>
        <w:rPr>
          <w:b w:val="0"/>
          <w:sz w:val="28"/>
          <w:szCs w:val="28"/>
        </w:rPr>
      </w:pPr>
    </w:p>
    <w:p w:rsidR="00443FFD" w:rsidRDefault="00443FFD" w:rsidP="00443FFD">
      <w:pPr>
        <w:pStyle w:val="ConsPlusTitle"/>
        <w:widowControl/>
        <w:tabs>
          <w:tab w:val="left" w:pos="3810"/>
        </w:tabs>
        <w:rPr>
          <w:b w:val="0"/>
          <w:sz w:val="28"/>
          <w:szCs w:val="28"/>
        </w:rPr>
      </w:pPr>
    </w:p>
    <w:p w:rsidR="00443FFD" w:rsidRDefault="00443FFD" w:rsidP="00443FF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постановлением Администрации города Ханты-Мансийска от 08.12.2014 №1191 «О программах города Ханты-Мансийска», решением Думы города Ханты-Мансийска от __.12.2015 №___-</w:t>
      </w:r>
      <w:r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 xml:space="preserve"> РД «О бюджете города Ханты-Мансийска на 2016 год» с учетом одобрения проекта изменений в муниципальную программу «Управление муниципальными финансами города Ханты-Мансийска на 2014-2020 годы» Думой города Ханты-Мансийска от .01.2015 №  -</w:t>
      </w:r>
      <w:r>
        <w:rPr>
          <w:b w:val="0"/>
          <w:sz w:val="28"/>
          <w:szCs w:val="28"/>
          <w:lang w:val="en-US"/>
        </w:rPr>
        <w:t>V</w:t>
      </w:r>
      <w:r w:rsidRPr="00443F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РД, руководствуясь статьей 71 Устава города Ханты-Мансийска:</w:t>
      </w:r>
      <w:proofErr w:type="gramEnd"/>
    </w:p>
    <w:p w:rsidR="00443FFD" w:rsidRDefault="00443FFD" w:rsidP="00443FF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43FFD" w:rsidRDefault="00443FFD" w:rsidP="00443FF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1.Внести в постановление Администрации города Ханты-Мансийска от 24.10.2013 №1367 «О муниципальной программе «Управление муниципальными финансами города Ханты-Мансийска на 2014-2020 годы» (далее – постановление) следующие изменения:</w:t>
      </w:r>
    </w:p>
    <w:p w:rsidR="00443FFD" w:rsidRDefault="00443FFD" w:rsidP="00443FF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43FFD" w:rsidRDefault="00443FFD" w:rsidP="0044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1.1.В паспорте программы ст</w:t>
      </w:r>
      <w:r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Исполнители мероприятий программы</w:t>
      </w:r>
      <w:r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443FFD" w:rsidRDefault="00443FFD" w:rsidP="0044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pPr w:leftFromText="180" w:rightFromText="180" w:bottomFromText="200" w:vertAnchor="text" w:horzAnchor="margin" w:tblpXSpec="right" w:tblpY="125"/>
        <w:tblW w:w="4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5"/>
        <w:gridCol w:w="6812"/>
      </w:tblGrid>
      <w:tr w:rsidR="00443FFD" w:rsidTr="00443FFD">
        <w:trPr>
          <w:trHeight w:val="20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FD" w:rsidRDefault="00443FFD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FD" w:rsidRDefault="00443FFD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управления финансами Администрации города Ханты-Мансийска;</w:t>
            </w:r>
          </w:p>
          <w:p w:rsidR="00443FFD" w:rsidRDefault="00443FFD">
            <w:pPr>
              <w:pStyle w:val="ConsPlusTitle"/>
              <w:widowControl/>
              <w:tabs>
                <w:tab w:val="left" w:pos="4680"/>
              </w:tabs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муниципальное казенное учреждение «Управление логистики»</w:t>
            </w:r>
          </w:p>
          <w:p w:rsidR="00443FFD" w:rsidRDefault="00443FFD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3FFD" w:rsidRDefault="00443FFD" w:rsidP="00443FFD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1.2.В паспорте программы строку «Основные цели и задачи программы» изложить в следующей редакции:</w:t>
      </w:r>
    </w:p>
    <w:p w:rsidR="00443FFD" w:rsidRDefault="00443FFD" w:rsidP="00443FF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pPr w:leftFromText="180" w:rightFromText="180" w:bottomFromText="200" w:vertAnchor="text" w:horzAnchor="margin" w:tblpXSpec="right" w:tblpY="125"/>
        <w:tblW w:w="4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5"/>
        <w:gridCol w:w="6812"/>
      </w:tblGrid>
      <w:tr w:rsidR="00443FFD" w:rsidTr="00443FFD">
        <w:trPr>
          <w:trHeight w:val="20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FD" w:rsidRDefault="00443FFD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FD" w:rsidRDefault="00443FF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443FFD" w:rsidRDefault="00443FF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Ханты-Мансийска.</w:t>
            </w:r>
          </w:p>
          <w:p w:rsidR="00443FFD" w:rsidRDefault="00443FF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443FFD" w:rsidRDefault="00443FF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планирования и исполнения бюджета города Ханты-Мансийска, ведение бюджетного учета и формирование бюджетной отчетности;</w:t>
            </w:r>
          </w:p>
          <w:p w:rsidR="00443FFD" w:rsidRDefault="00443FFD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Ханты-Мансийске;</w:t>
            </w:r>
          </w:p>
          <w:p w:rsidR="00443FFD" w:rsidRDefault="00443FFD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заимствованиям;</w:t>
            </w:r>
          </w:p>
          <w:p w:rsidR="00443FFD" w:rsidRDefault="00443FFD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4)обеспечение формирования и использования средств резервного фонда Администрации города в соответствии с требованиями, установленными Бюджетным кодексом Российской Федерации и муниципальными правовыми актами</w:t>
            </w:r>
          </w:p>
        </w:tc>
      </w:tr>
    </w:tbl>
    <w:p w:rsidR="00443FFD" w:rsidRDefault="00443FFD" w:rsidP="00443FFD">
      <w:pPr>
        <w:autoSpaceDE w:val="0"/>
        <w:autoSpaceDN w:val="0"/>
        <w:adjustRightInd w:val="0"/>
        <w:spacing w:after="0"/>
        <w:ind w:hanging="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1.3.В паспорте программы строки «Объемы и источники финансирования программы (всего)» изложить в следующей редакции:</w:t>
      </w:r>
    </w:p>
    <w:p w:rsidR="00443FFD" w:rsidRDefault="00443FFD" w:rsidP="00443FF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pPr w:leftFromText="180" w:rightFromText="180" w:bottomFromText="200" w:vertAnchor="text" w:horzAnchor="margin" w:tblpXSpec="right" w:tblpY="125"/>
        <w:tblW w:w="4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5"/>
        <w:gridCol w:w="6812"/>
      </w:tblGrid>
      <w:tr w:rsidR="00443FFD" w:rsidTr="00443FFD">
        <w:trPr>
          <w:trHeight w:val="20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FD" w:rsidRDefault="00443FFD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3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FD" w:rsidRDefault="00443FFD">
            <w:pPr>
              <w:pStyle w:val="ConsPlusNormal"/>
              <w:widowControl/>
              <w:spacing w:line="276" w:lineRule="auto"/>
              <w:ind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бюджета города Ханты-Мансийска на реализацию муниципальной программы носит прогнозный характер и составляет </w:t>
            </w:r>
          </w:p>
          <w:p w:rsidR="00443FFD" w:rsidRDefault="00443FFD">
            <w:pPr>
              <w:pStyle w:val="ConsPlusNormal"/>
              <w:widowControl/>
              <w:spacing w:line="276" w:lineRule="auto"/>
              <w:ind w:firstLine="2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612 031 971 рубль</w:t>
            </w:r>
          </w:p>
        </w:tc>
      </w:tr>
    </w:tbl>
    <w:p w:rsidR="00443FFD" w:rsidRDefault="00443FFD" w:rsidP="00443FFD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1.4.В паспорте программы строки «Ожидаемые конечные результаты реализации программы» исключить.</w:t>
      </w:r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1.5.Раздел 2 изложить в следующей редакции:</w:t>
      </w:r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«Раздел 2.Цели, задачи и показатели их достижения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развития города Ханты-Мансийска согласно </w:t>
      </w:r>
      <w:hyperlink r:id="rId5" w:history="1">
        <w:r>
          <w:rPr>
            <w:rStyle w:val="a3"/>
            <w:sz w:val="28"/>
            <w:szCs w:val="28"/>
          </w:rPr>
          <w:t>Стратегии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Ханты-Мансийска до 2020 года, утвержденной решением Думы города Ханты-Мансийска от 16.12.2011 N 141, является укрепление и развитие позиций города как административного, культурного, инновационного и общественного центра региона на основе интенсификации социально-экономического развития, выраженного в повышении качества жизни населения, устойчивых темпах экономического роста и поддержании стабильной экологической обстановки.</w:t>
      </w:r>
      <w:proofErr w:type="gramEnd"/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в муниципальном образовании реализуется бюджетная политика, направленная на повышение уровня и качества жизни населения, на улучшение инвестиционного климата и повышение эффективности бюджетных расходов как составной части эффективности деятельности органов местного самоуправления.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в городе Ханты-Мансийске.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в рамках реализации программы предусматривается решение следующих основных задач: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1)организация планирования и исполнения бюджета города Ханты-Мансийска, ведение бюджетного учета и формирование бюджетной отчетности;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города Ханты-Мансийска;</w:t>
      </w:r>
    </w:p>
    <w:p w:rsidR="00443FFD" w:rsidRDefault="00443FFD" w:rsidP="00443FF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заимствованиям;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4)обеспечение формирования и использования средств резервного фонда Администрации города в соответствии с требованиями, установленными Бюджетным кодексом Российской Федерации и муниципальными правовыми актами.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поставленных задач будет осуществляться с учетом: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долгосрочного прогноза основных параметров бюджетной системы, основанных на реалистических оценках при формировании бюджета города;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полноты учета и прогнозирования финансовых ресурсов;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бюджетных ассигнований исходя из необходимости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безусловного исполнения действующих расходных обязательств;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новых 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формированию бюджета муниципального образования с применением программно-целевого метода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обязательств. Тем самым реализуется возможность полноценного применения программно-целевого метода планирования бюджета, что создает прочную основу для системного повышения эффективности бюджетных расходов.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anchor="P216" w:history="1">
        <w:r>
          <w:rPr>
            <w:rStyle w:val="a3"/>
            <w:sz w:val="28"/>
            <w:szCs w:val="28"/>
          </w:rPr>
          <w:t>Система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целевых показателей, характеризующих результаты реализации муниципальной программы "Управление муниципальными финансами города Ханты-Мансийска на 2014 - 2020 годы", отражена в приложении 1 к программе и состоит из следующих показателей: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FFD" w:rsidRDefault="00443FFD" w:rsidP="00443F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1.Доля расходов на оказание муниципальных услуг (работ), оказываемых (выполняемых) в соответствии с муниципальным заданием, в общем объеме бюджета города. Данный показатель отражает удельный вес расходов бюджета города, запланированный в виде объема субсидий на финансовое обеспечение выполнения муниципальных заданий на оказание муниципальных услуг (выполнение работ) при решении вопросов местного значения и переданных государственных полномочий. </w:t>
      </w:r>
    </w:p>
    <w:p w:rsidR="00443FFD" w:rsidRDefault="00443FFD" w:rsidP="00443F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2.Отсутствие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труда). Данный показатель отражает своевременное исполнение обязательств по гарантированным выплатам по оплате труда и начислениям по оплате труда.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3.Отсутствие просроченной задолженности по долговым обязательствам муниципального образования в структуре расходов бюджета муниципального образования. Сохранение данного показателя на установленном уровне направлено на обеспечение ответственной долговой политики, поддержания городом имиджа надежного заемщика и гаранта.</w:t>
      </w:r>
    </w:p>
    <w:p w:rsidR="00443FFD" w:rsidRDefault="00443FFD" w:rsidP="00443F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4.Своевременное проведение мониторинга качества финансового менеджмента, осуществляемого главными распорядителями средств бюджета города, и размещение результатов данного мониторинга на Официальном информационном портале органов местного самоуправления города Ханты-Мансийска. Данный показатель отражает соблюдение требования муниципального правого акта, устанавливающего порядок проведения данного мониторинга, и обеспечивает создание аналитической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базы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 использования средств бюджета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качества управления средствами бюджета.</w:t>
      </w:r>
    </w:p>
    <w:p w:rsidR="00443FFD" w:rsidRDefault="00443FFD" w:rsidP="00443F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5.Доля главных распорядителей средств бюджета города Ханты-Мансийска, предоставивших отчетность в сроки, установленные Департаментом управления финансами Администрации города Ханты-Мансийска. Данный показатель показывает степень соблюдения главными распорядителями средств бюджета города муниципальных правовых актов о сроках сдачи отчетности.</w:t>
      </w:r>
    </w:p>
    <w:p w:rsidR="00443FFD" w:rsidRDefault="00443FFD" w:rsidP="00443F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6.Размещение на Официальном информационном портале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Ханты-Мансийска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результатах проведения публичных слушаний по проекту бюджета и отчету о его исполнении. Данный показатель показывает степень соблюдение ответственного исполнителя за размещение данной информации в сети Интернет согласно муниципальному правовому акту.</w:t>
      </w:r>
    </w:p>
    <w:p w:rsidR="00443FFD" w:rsidRDefault="00443FFD" w:rsidP="00443F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7.Открытость показателей бюджета города на стадиях рассмотрения, утверждения и исполнения. Данный показатель показывает степень соблюдения ответственных исполнителей за размещение необходимого состава информации в сети Интернет и прочим мероприятиям, направленным на открытость информации о бюджете города согласно муниципальным правовым актам.</w:t>
      </w:r>
    </w:p>
    <w:p w:rsidR="00443FFD" w:rsidRDefault="00443FFD" w:rsidP="00443F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8.Обеспеченность программно-техническими средствами специалистов Департамента управления финансами Администрации города Ханты-Мансийска в объеме, достаточном для исполнения должностных обязанностей. Сохранение данного показателя на установленном уровне направлено на обеспечение бесперебойной и качественной работы специалистов финансового органа.</w:t>
      </w:r>
    </w:p>
    <w:p w:rsidR="00443FFD" w:rsidRDefault="00443FFD" w:rsidP="00443F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9.Увеличение доли принятых на текущий финансовый год бюджетных обязательств в общем объеме расходов бюджета города. Показатель отражает удельный вес запланированного объема расходов, подкрепленных договорными обязательствами, в общем объеме расходов бюджета города.</w:t>
      </w:r>
    </w:p>
    <w:p w:rsidR="00443FFD" w:rsidRDefault="00443FFD" w:rsidP="00443F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10.Увеличение доли расходов бюджета города, сформированных в рамках муниципальных программ, в общем объеме расходов бюджета города. Показатель направлен на формирование бюджета города по программному принципу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взаимоувязкой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планируемых объемов расходов бюджета города с показателями результативности.</w:t>
      </w:r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11.Доля муниципальных учреждений, выполнивших в полном объеме муниципальные задания, в общем количестве муниципальных учреждений города Ханты-Мансийска, которым утверждены муниципальные задания. Данный показатель направлен на эффективное и результативное выполнение муниципальных заданий муниципальными учреждениями и своевременность принятия управленческих и контрольных функций главными распорядителями средств бюджета города.</w:t>
      </w:r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12.Доля разработанных муниципальных правовых актов от общего количества муниципальных правовых актов, подлежащих разработке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финансовым органом муниципального образования в соответствие с требованиями, установленными бюджетным законодательством. Данный показатель отражает своевременность проведения мониторинга действующего законодательства и приведение в соответствие с ним муниципальных правовых актов.</w:t>
      </w:r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13.Степень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 содержания проекта решения Думы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бюджете города и состава документов и материалов, предоставляемых одновременно с ним, требованиям, установленным бюджетным законодательством. Показатель отражает качественную подготовку бюджета города на стадии планирования.</w:t>
      </w:r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14.Степень соответствия состава годового отчета об исполнении бюджета города и документов, предоставляемых одновременно с ним, требованиям, установленным бюджетным законодательством. Показатель отражает качественную подготовку отчета об исполнении бюджета города.</w:t>
      </w:r>
    </w:p>
    <w:p w:rsidR="00443FFD" w:rsidRDefault="00443FFD" w:rsidP="00443F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15.Соблюдение срока представления годовой бюджетной отчетности в Департамент финансов Ханты-Мансийского автономного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Данный показатель показывает степень соблюдения финансовым органом муниципального образования сроков предоставления годовой бюджетной отчетности согласно правому акту Департамента финансов Ханты-Мансийского автономного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16.Соблюдение ограничений по дефициту бюджета и предельному объему муниципального долга,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законодательством. Показатель ориентирован на сохранение муниципального долга на экономически безопасном уровне и показывает степень соответствия данного показателя требованиям Бюджетного кодекса Российской Федерации.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17.Соблюдение  ограничений по предельному размеру резервного фонда, установленного Бюджетным кодексом Российской Федерации. Показатель ориентирован на соблюдение условий исполнения расходных обязательств по финансовому обеспечению непредвиденных расходов и показывает степень соответствия данного показателя требованиям Бюджетного кодекса Российской Федерации.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18.Доля расходов бюджета города на обслуживание муниципального долга в общем объеме расходов бюджета без учета расходов, осуществляемых за счет целевых межбюджетных трансфертов из вышестоящего бюджета. Показатель отражает долговую нагрузку на бюджет города Ханты-Мансийска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1.6.Раздел 3 изложить в следующей редакции:</w:t>
      </w:r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«Раздел 3. Характеристика основных мероприятий программы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и задач программы будет выполняться посредством реализации следующих основных мероприятий: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Обеспечение выполнения функций и полномочий финансового органа - Департамента управления финансами Администрации города Ханты-Мансийска.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Департамента управления финансами Администрации города Ханты-Мансийска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муниципального образования.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реализации данного мероприятия является материально-техническое обеспечение деятельности Департамента управления финансами Администрации города Ханты-Мансийска в объеме, необходимом для своевременного и качественного выполнения возложенных на него полномочий. Таких как: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планирования бюджета города Ханты-Мансийска, результатом которой является принятый в установленные сроки и соответствующий требованиям бюджетного законодательства Российской Федерации бюджет города Ханты-Мансийска на очередной финансовый год и плановый период;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исполнения бюджета города Ханты-Мансийска и формирование бюджетной отчетности, своевременное и качественное формирование которой позволит оценить степень выполнения расходных обязательств муниципального образования,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сектора;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нормативно-методическое обеспечение организации бюджетного процесса в городе Ханты-Мансийске реализуется в разработке и утверждении необходимых правовых актов и методических указаний в области организации бюджетного процесса, соответствующих требованиям бюджетного законодательства, что способствует качественной организации планирования и исполнения расходных обязательств, составлению бюджетной отчетности главными распорядителями бюджетных средств, обеспечит единство нормативно-правового регулирования в сфере управления муниципальными финансами;</w:t>
      </w:r>
      <w:proofErr w:type="gramEnd"/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оценки качества финансового менеджмента, осуществляемого главными распорядителями средств и главными администраторами доходов бюджета города Ханты-Мансийска,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реализуется в целях повышения заинтересованности участников бюджетного процесса в муниципальном образовании в повышении качества контроля в сфере управления муниципальными финансами. 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Администрирование и сопровождение программных комплексов, прикладного программного обеспечения в сфере управления общественными финансами.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развитие отношений в сфере общественных финансов предъявляет новые требования к составу и качеству информации 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финансовой деятельности муниципальных образований, а также открытости информации о результатах их деятельности.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бюджетного процесса является одним из главных приоритетов бюджетной политики, проводимой в муниципальном образовании. С целью вовлечения населения города Ханты-Мансийска в осуществление бюджетного процесса Департаментом управления финансами Администрации города Ханты-Мансийска ежегодно организуются публичные слушания по проекту бюджета города и отчету об его исполнении.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информационном портале органов местного самоуправления города Ханты-Мансийска размещается информация о бюджете города Ханты-Мансийска и ходе его исполнения, о деятельности Департамента управления финансами Администрации города Ханты-Мансийска.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привлечения большего количества горожан к участию в обсуждении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 формирования бюджета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исполнения Департаментом управления финансами Администрации города Ханты-Мансийска планируется разработка информационного материала "Бюджет для граждан". "Бюджет для граждан" предназначен, прежде всего, для жителей города Ханты-Мансийска, не обладающих специальными знаниями в сфере бюджетного законодательства.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управления финансами Администрации города Ханты-Мансийска обеспечивается бесперебойная работа автоматизированной системы "Бюджет" (АС "Бюджет") и автоматизированной системы "Управление рабочим местом" (АС "УРМ") - основных информационных систем, база данных которых является центральной в комплексной автоматизации исполнения бюджета города на всех этапах его планирования и исполнения.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программных комплексов в сфере управления финансами позволит обеспечить прозрачность и подотчетность деятельности финансового органа муниципального образования, повысить доступность информации о финансовой деятельности и финансовом состоянии муниципального образования города Ханты-Мансийска, создать инструментарий для принятия обоснованных управленческих решений с целью эффективности и результативности бюджетных расходов.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также осуществляется обеспечение работоспособности аппаратного оборудования Департамента управления финансами Администрации города Ханты-Мансийска, его обновление в соответствии с требованиями программных комплексов. Администрирование и сопровождение систем хранения и защиты баз данных. 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3.Проведение взвешенной долговой политики,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надлежайшее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исполнение обязательств по муниципальным заимствованиям.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политика является неотъемлемой частью бюджетной политики муниципального образования и оказывает непосредственное влияние на устойчивость местного бюджета.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муниципальным долгом осуществляется посредством системы четких процедур, ориентированных на сохранение муниципального долга на экономически безопасном уровне.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деятельность Департамента управления финансами в сфере управления муниципальным долгом направлена на обеспечение полного и своевременного исполнения обязательств муниципального образования по муниципальным заимствованиям.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утверждено распоряжение Администрации города Ханты-Мансийска от 12.03.2015 N 32-р "Об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методики планирования долговых обязательств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определения долговой нагрузки на бюджет города Ханты-Мансийска".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обязательств по муниципальным заимствованиям обеспечен в регулярном режиме - долговые обязательства города исполняются в полном объеме и в установленные сроки.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Взвешенный подход к формированию муниципального долга позволит успешно реализовывать долговую политику города, несмотря на нестабильную внешнеполитическую ситуацию и обеспечить уровень муниципального долга значительно ниже предельного уровня, установленного бюджетным законодательством.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мероприятия направлена на обеспечение ответственной долговой политики, поддержания городом имиджа надежного заемщика и гаранта.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4.Формирование в бюджете города резервного фонда Администрации города в соответствии с требованиями Бюджетного кодекса Российской Федерации.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расходов резервного фонда Администрации города осуществляется в пределах ограничений, установленных нормой </w:t>
      </w:r>
      <w:hyperlink r:id="rId7" w:history="1">
        <w:r>
          <w:rPr>
            <w:rStyle w:val="a3"/>
            <w:sz w:val="28"/>
            <w:szCs w:val="28"/>
          </w:rPr>
          <w:t>статьи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для возможного исполнения расходных обязательств по финансовому обеспечению непредвиденных расходов.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города используются в порядке, установленном муниципальным правовым актом, и направляются в основном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резерва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последующего направления соответствующим главным распорядителям бюджетных средств осуществляется в целях обеспечения планируемых в очередном финансовом году расходных обязательств, нормативно не закрепленных в период формирования бюджета (обеспечение эксплуатации новых объектов муниципальной собственности после их ввода и иные случаи, предусматриваемые текстовой частью решения Думы города о бюджете города).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иным образом зарезервированных средств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главными распорядителями бюджетных средств осуществляется Департаментом управления финансами после издания соответствующих муниципальных правовых актов.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возникновения рисков отсутствия финансового обеспечения расходов непредвиденного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расходных обязательств, прогнозируемых на перспективу, должна решаться путем формирования резервного фонда Администрации города в оптимальном размере, определения условно утвержденных расходов в достаточном объеме, а также обоснованной концентрацией средств, иным образом резервируемых в бюджете города. ».</w:t>
      </w:r>
    </w:p>
    <w:p w:rsidR="00443FFD" w:rsidRDefault="00443FFD" w:rsidP="00443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1.7.Раздел 4 «Обоснование ресурсного обеспечения программы» изложить в следующей редакции:</w:t>
      </w:r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«Финансирование программы осуществляется за счет средств бюджета города Ханты-Мансийска.</w:t>
      </w:r>
    </w:p>
    <w:p w:rsidR="00443FFD" w:rsidRDefault="00443FFD" w:rsidP="00443FFD">
      <w:pPr>
        <w:pStyle w:val="ConsPlusNormal"/>
        <w:framePr w:hSpace="180" w:wrap="around" w:vAnchor="text" w:hAnchor="margin" w:xAlign="right" w:y="125"/>
        <w:widowControl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Объем бюджетных ассигнований на реализацию программы носит прогнозный характер и составляет </w:t>
      </w:r>
      <w:r>
        <w:rPr>
          <w:rFonts w:ascii="Times New Roman" w:hAnsi="Times New Roman" w:cs="Times New Roman"/>
          <w:sz w:val="28"/>
          <w:szCs w:val="28"/>
        </w:rPr>
        <w:t>612 031 971 рубль, в том числе по годам:</w:t>
      </w:r>
    </w:p>
    <w:p w:rsidR="00443FFD" w:rsidRDefault="00443FFD" w:rsidP="00443FFD">
      <w:pPr>
        <w:pStyle w:val="ConsPlusNormal"/>
        <w:framePr w:hSpace="180" w:wrap="around" w:vAnchor="text" w:hAnchor="margin" w:xAlign="right" w:y="125"/>
        <w:widowControl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60 134 601 рубль;</w:t>
      </w:r>
    </w:p>
    <w:p w:rsidR="00443FFD" w:rsidRDefault="00443FFD" w:rsidP="00443FFD">
      <w:pPr>
        <w:pStyle w:val="ConsPlusNormal"/>
        <w:framePr w:hSpace="180" w:wrap="around" w:vAnchor="text" w:hAnchor="margin" w:xAlign="right" w:y="125"/>
        <w:widowControl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62 044 000 рублей;</w:t>
      </w:r>
    </w:p>
    <w:p w:rsidR="00443FFD" w:rsidRDefault="00443FFD" w:rsidP="00443FFD">
      <w:pPr>
        <w:pStyle w:val="a9"/>
        <w:framePr w:hSpace="180" w:wrap="around" w:vAnchor="text" w:hAnchor="margin" w:xAlign="right" w:y="125"/>
        <w:ind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– 108 520 370 рублей;</w:t>
      </w:r>
    </w:p>
    <w:p w:rsidR="00443FFD" w:rsidRDefault="00443FFD" w:rsidP="00443FFD">
      <w:pPr>
        <w:pStyle w:val="a9"/>
        <w:framePr w:hSpace="180" w:wrap="around" w:vAnchor="text" w:hAnchor="margin" w:xAlign="right" w:y="125"/>
        <w:ind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– 94 599 000 рублей;</w:t>
      </w:r>
    </w:p>
    <w:p w:rsidR="00443FFD" w:rsidRDefault="00443FFD" w:rsidP="00443FFD">
      <w:pPr>
        <w:pStyle w:val="a9"/>
        <w:framePr w:hSpace="180" w:wrap="around" w:vAnchor="text" w:hAnchor="margin" w:xAlign="right" w:y="125"/>
        <w:ind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– 95  578 000 рублей;</w:t>
      </w:r>
    </w:p>
    <w:p w:rsidR="00443FFD" w:rsidRDefault="00443FFD" w:rsidP="00443FFD">
      <w:pPr>
        <w:pStyle w:val="a9"/>
        <w:framePr w:hSpace="180" w:wrap="around" w:vAnchor="text" w:hAnchor="margin" w:xAlign="right" w:y="125"/>
        <w:ind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– 95 578 000 рублей;</w:t>
      </w:r>
    </w:p>
    <w:p w:rsidR="00443FFD" w:rsidRDefault="00443FFD" w:rsidP="00443FFD">
      <w:pPr>
        <w:pStyle w:val="ConsPlusNormal"/>
        <w:framePr w:hSpace="180" w:wrap="around" w:vAnchor="text" w:hAnchor="margin" w:xAlign="right" w:y="125"/>
        <w:widowControl/>
        <w:ind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– 95 578 000 рублей</w:t>
      </w:r>
    </w:p>
    <w:p w:rsidR="00443FFD" w:rsidRDefault="00443FFD" w:rsidP="00443FFD">
      <w:pPr>
        <w:pStyle w:val="ConsPlusNormal"/>
        <w:framePr w:hSpace="180" w:wrap="around" w:vAnchor="text" w:hAnchor="margin" w:xAlign="right" w:y="125"/>
        <w:widowControl/>
        <w:ind w:firstLine="20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 и плановый период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>
        <w:rPr>
          <w:rFonts w:ascii="Times New Roman" w:eastAsia="Calibri" w:hAnsi="Times New Roman" w:cs="Times New Roman"/>
          <w:sz w:val="28"/>
          <w:szCs w:val="28"/>
        </w:rPr>
        <w:t>.Приложение 1 к муниципальной программе «Управление муниципальными финансами города Ханты-Мансийска на 2014-2020 годы» 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443FFD" w:rsidRDefault="00443FFD" w:rsidP="00443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>
        <w:rPr>
          <w:rFonts w:ascii="Times New Roman" w:eastAsia="Calibri" w:hAnsi="Times New Roman" w:cs="Times New Roman"/>
          <w:sz w:val="28"/>
          <w:szCs w:val="28"/>
        </w:rPr>
        <w:t>.Приложение 2 к муниципальной программе «Управление муниципальными финансами города Ханты-Мансийска на 2014-2020 годы» 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443FFD" w:rsidRPr="00405C1E" w:rsidRDefault="00443FFD" w:rsidP="00405C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405C1E" w:rsidRDefault="00405C1E" w:rsidP="00443FFD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43FFD" w:rsidRDefault="00443FFD" w:rsidP="00443FFD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9E0035" w:rsidRPr="00405C1E" w:rsidRDefault="00443FFD" w:rsidP="00405C1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М.П.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9E0035" w:rsidRDefault="009E0035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035" w:rsidRDefault="009E0035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05B" w:rsidRDefault="001E305B" w:rsidP="00830D56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E305B" w:rsidSect="00CA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1E1E"/>
    <w:multiLevelType w:val="hybridMultilevel"/>
    <w:tmpl w:val="F72E52B8"/>
    <w:lvl w:ilvl="0" w:tplc="2968FCA6">
      <w:start w:val="2020"/>
      <w:numFmt w:val="decimal"/>
      <w:lvlText w:val="%1"/>
      <w:lvlJc w:val="left"/>
      <w:pPr>
        <w:ind w:left="80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4ADF7F28"/>
    <w:multiLevelType w:val="hybridMultilevel"/>
    <w:tmpl w:val="9EAA68F4"/>
    <w:lvl w:ilvl="0" w:tplc="D570B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14C3C"/>
    <w:multiLevelType w:val="hybridMultilevel"/>
    <w:tmpl w:val="B4802C2E"/>
    <w:lvl w:ilvl="0" w:tplc="97C8530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704FB7"/>
    <w:multiLevelType w:val="multilevel"/>
    <w:tmpl w:val="AF34FE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E4B"/>
    <w:rsid w:val="0000288A"/>
    <w:rsid w:val="00014FA1"/>
    <w:rsid w:val="0004470D"/>
    <w:rsid w:val="00070097"/>
    <w:rsid w:val="00077CF2"/>
    <w:rsid w:val="000871FD"/>
    <w:rsid w:val="000F5BDF"/>
    <w:rsid w:val="000F7DD0"/>
    <w:rsid w:val="00114878"/>
    <w:rsid w:val="001428BB"/>
    <w:rsid w:val="001A2965"/>
    <w:rsid w:val="001B17F5"/>
    <w:rsid w:val="001E305B"/>
    <w:rsid w:val="001F0311"/>
    <w:rsid w:val="00205065"/>
    <w:rsid w:val="00220833"/>
    <w:rsid w:val="00234F51"/>
    <w:rsid w:val="00244FEF"/>
    <w:rsid w:val="00281CEE"/>
    <w:rsid w:val="002D2803"/>
    <w:rsid w:val="002D3963"/>
    <w:rsid w:val="0033316D"/>
    <w:rsid w:val="003423E3"/>
    <w:rsid w:val="0037659A"/>
    <w:rsid w:val="00383ADD"/>
    <w:rsid w:val="003978DC"/>
    <w:rsid w:val="003E558A"/>
    <w:rsid w:val="00405C1E"/>
    <w:rsid w:val="00421EBD"/>
    <w:rsid w:val="00443FFD"/>
    <w:rsid w:val="004A56E3"/>
    <w:rsid w:val="00512E04"/>
    <w:rsid w:val="00541311"/>
    <w:rsid w:val="00561577"/>
    <w:rsid w:val="00583797"/>
    <w:rsid w:val="00591225"/>
    <w:rsid w:val="005C2F7E"/>
    <w:rsid w:val="005C3705"/>
    <w:rsid w:val="005C4D03"/>
    <w:rsid w:val="005F09F1"/>
    <w:rsid w:val="00621355"/>
    <w:rsid w:val="006550CF"/>
    <w:rsid w:val="00663E4B"/>
    <w:rsid w:val="00712EA5"/>
    <w:rsid w:val="00751973"/>
    <w:rsid w:val="00766F68"/>
    <w:rsid w:val="00790E35"/>
    <w:rsid w:val="007E3BF1"/>
    <w:rsid w:val="007F600E"/>
    <w:rsid w:val="0081522F"/>
    <w:rsid w:val="00826467"/>
    <w:rsid w:val="00827112"/>
    <w:rsid w:val="00830D56"/>
    <w:rsid w:val="008638D9"/>
    <w:rsid w:val="00872939"/>
    <w:rsid w:val="008900B4"/>
    <w:rsid w:val="00895457"/>
    <w:rsid w:val="008B4A0E"/>
    <w:rsid w:val="009127ED"/>
    <w:rsid w:val="00965ABD"/>
    <w:rsid w:val="009A1A07"/>
    <w:rsid w:val="009A2D9A"/>
    <w:rsid w:val="009A4E70"/>
    <w:rsid w:val="009C098B"/>
    <w:rsid w:val="009C332E"/>
    <w:rsid w:val="009E0035"/>
    <w:rsid w:val="009E72A4"/>
    <w:rsid w:val="009F4FCA"/>
    <w:rsid w:val="009F5829"/>
    <w:rsid w:val="00A10B83"/>
    <w:rsid w:val="00A13FEF"/>
    <w:rsid w:val="00A93E25"/>
    <w:rsid w:val="00AA1AFF"/>
    <w:rsid w:val="00AC4D8F"/>
    <w:rsid w:val="00AC5EBF"/>
    <w:rsid w:val="00B33084"/>
    <w:rsid w:val="00B4526C"/>
    <w:rsid w:val="00B45977"/>
    <w:rsid w:val="00B7383A"/>
    <w:rsid w:val="00BC7951"/>
    <w:rsid w:val="00BF120A"/>
    <w:rsid w:val="00C1173B"/>
    <w:rsid w:val="00C12041"/>
    <w:rsid w:val="00C146C5"/>
    <w:rsid w:val="00C77485"/>
    <w:rsid w:val="00C8638A"/>
    <w:rsid w:val="00C95DCE"/>
    <w:rsid w:val="00CA22AA"/>
    <w:rsid w:val="00CA386C"/>
    <w:rsid w:val="00CA71BF"/>
    <w:rsid w:val="00CB2835"/>
    <w:rsid w:val="00D37FB7"/>
    <w:rsid w:val="00D55A98"/>
    <w:rsid w:val="00D724C6"/>
    <w:rsid w:val="00D7390E"/>
    <w:rsid w:val="00D752D1"/>
    <w:rsid w:val="00DB0656"/>
    <w:rsid w:val="00DC739F"/>
    <w:rsid w:val="00DE1C07"/>
    <w:rsid w:val="00E01503"/>
    <w:rsid w:val="00EA3556"/>
    <w:rsid w:val="00EB5026"/>
    <w:rsid w:val="00EB7D30"/>
    <w:rsid w:val="00F01713"/>
    <w:rsid w:val="00F22603"/>
    <w:rsid w:val="00F3247C"/>
    <w:rsid w:val="00F37A40"/>
    <w:rsid w:val="00F622C5"/>
    <w:rsid w:val="00F71B28"/>
    <w:rsid w:val="00FA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FD"/>
  </w:style>
  <w:style w:type="paragraph" w:styleId="1">
    <w:name w:val="heading 1"/>
    <w:basedOn w:val="a"/>
    <w:next w:val="a"/>
    <w:link w:val="10"/>
    <w:qFormat/>
    <w:rsid w:val="00663E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3E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3E4B"/>
    <w:pPr>
      <w:ind w:left="720"/>
      <w:contextualSpacing/>
    </w:pPr>
  </w:style>
  <w:style w:type="paragraph" w:styleId="a5">
    <w:name w:val="Body Text"/>
    <w:basedOn w:val="a"/>
    <w:link w:val="a6"/>
    <w:rsid w:val="00663E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3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3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8"/>
    <w:rsid w:val="0066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663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663E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663E4B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63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D37F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37F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E17B56595A141B4C80EE9B97649A1569B67AF8425A4C97B9B13C19863A92991A06F0E6FCCL6B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katsura\&#1056;&#1072;&#1073;&#1086;&#1095;&#1080;&#1081;%20&#1089;&#1090;&#1086;&#1083;\&#1085;&#1086;&#1074;&#1099;&#1077;%20&#1080;&#1079;&#1084;&#1077;&#1085;&#1077;&#1085;&#1080;&#1103;%20&#1074;%20&#1087;&#1088;&#1086;&#1075;&#1088;&#1072;&#1084;&#1084;&#1091;\&#1053;&#1054;&#1042;&#1040;&#1071;%20&#1085;&#1086;&#1103;&#1073;&#1088;&#1100;%202015\&#1048;&#1079;&#1084;&#1077;&#1085;&#1077;&#1085;&#1080;&#1103;%20&#1074;%201367%20&#1055;&#1056;&#1054;&#1045;&#1050;&#1058;.docx" TargetMode="External"/><Relationship Id="rId5" Type="http://schemas.openxmlformats.org/officeDocument/2006/relationships/hyperlink" Target="consultantplus://offline/ref=95BAFEF140A0ACF632BC1A66338E14D46C2ECA88FF0C3DD036687D39A944FB5B801667578ED58AA56FFA08PBe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18</cp:revision>
  <cp:lastPrinted>2015-11-09T11:47:00Z</cp:lastPrinted>
  <dcterms:created xsi:type="dcterms:W3CDTF">2015-11-09T10:51:00Z</dcterms:created>
  <dcterms:modified xsi:type="dcterms:W3CDTF">2015-11-12T06:54:00Z</dcterms:modified>
</cp:coreProperties>
</file>